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0684" w14:textId="77777777" w:rsidR="0017452F" w:rsidRDefault="00537752">
      <w:pPr>
        <w:spacing w:after="0" w:line="259" w:lineRule="auto"/>
        <w:ind w:left="0" w:firstLine="0"/>
        <w:jc w:val="right"/>
      </w:pPr>
      <w:r>
        <w:rPr>
          <w:noProof/>
        </w:rPr>
        <w:drawing>
          <wp:inline distT="0" distB="0" distL="0" distR="0" wp14:anchorId="3A83E4C6" wp14:editId="70EC60BC">
            <wp:extent cx="5759450" cy="1244511"/>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5"/>
                    <a:stretch>
                      <a:fillRect/>
                    </a:stretch>
                  </pic:blipFill>
                  <pic:spPr>
                    <a:xfrm>
                      <a:off x="0" y="0"/>
                      <a:ext cx="5759450" cy="1244511"/>
                    </a:xfrm>
                    <a:prstGeom prst="rect">
                      <a:avLst/>
                    </a:prstGeom>
                  </pic:spPr>
                </pic:pic>
              </a:graphicData>
            </a:graphic>
          </wp:inline>
        </w:drawing>
      </w:r>
      <w:r>
        <w:rPr>
          <w:sz w:val="22"/>
        </w:rPr>
        <w:t xml:space="preserve"> </w:t>
      </w:r>
      <w:r>
        <w:t xml:space="preserve">  </w:t>
      </w:r>
    </w:p>
    <w:p w14:paraId="1BDACD8C" w14:textId="77777777" w:rsidR="0017452F" w:rsidRDefault="00537752">
      <w:pPr>
        <w:pBdr>
          <w:top w:val="single" w:sz="2" w:space="0" w:color="000000"/>
          <w:left w:val="single" w:sz="2" w:space="0" w:color="000000"/>
          <w:bottom w:val="single" w:sz="2" w:space="0" w:color="000000"/>
          <w:right w:val="single" w:sz="2" w:space="0" w:color="000000"/>
        </w:pBdr>
        <w:spacing w:after="22" w:line="259" w:lineRule="auto"/>
        <w:ind w:left="0" w:right="102" w:firstLine="0"/>
        <w:jc w:val="center"/>
      </w:pPr>
      <w:r>
        <w:rPr>
          <w:b/>
        </w:rPr>
        <w:t>MAP II V ORP TÁBOR</w:t>
      </w:r>
      <w:r>
        <w:t xml:space="preserve">  </w:t>
      </w:r>
    </w:p>
    <w:p w14:paraId="340C344C" w14:textId="77777777" w:rsidR="0017452F" w:rsidRDefault="00537752">
      <w:pPr>
        <w:spacing w:after="4" w:line="259" w:lineRule="auto"/>
        <w:ind w:left="14" w:firstLine="0"/>
        <w:jc w:val="left"/>
      </w:pPr>
      <w:r>
        <w:rPr>
          <w:sz w:val="22"/>
        </w:rPr>
        <w:t xml:space="preserve"> </w:t>
      </w:r>
      <w:r>
        <w:t xml:space="preserve">  </w:t>
      </w:r>
    </w:p>
    <w:p w14:paraId="533F298A" w14:textId="4FDBD450" w:rsidR="0017452F" w:rsidRPr="00E164F0" w:rsidRDefault="00E164F0">
      <w:pPr>
        <w:pStyle w:val="Nadpis1"/>
        <w:pBdr>
          <w:top w:val="single" w:sz="2" w:space="0" w:color="000000"/>
          <w:left w:val="single" w:sz="2" w:space="0" w:color="000000"/>
          <w:bottom w:val="single" w:sz="2" w:space="0" w:color="000000"/>
          <w:right w:val="single" w:sz="2" w:space="0" w:color="000000"/>
        </w:pBdr>
        <w:spacing w:after="29"/>
        <w:ind w:left="0" w:right="109" w:firstLine="0"/>
        <w:rPr>
          <w:b w:val="0"/>
          <w:bCs/>
        </w:rPr>
      </w:pPr>
      <w:r w:rsidRPr="00E164F0">
        <w:rPr>
          <w:b w:val="0"/>
          <w:bCs/>
        </w:rPr>
        <w:t>CZ.02.3.68/0.0/0.0/20_082/0023023</w:t>
      </w:r>
      <w:r w:rsidR="00537752" w:rsidRPr="00E164F0">
        <w:rPr>
          <w:b w:val="0"/>
          <w:bCs/>
        </w:rPr>
        <w:t xml:space="preserve"> </w:t>
      </w:r>
      <w:r w:rsidR="00537752" w:rsidRPr="00E164F0">
        <w:rPr>
          <w:b w:val="0"/>
          <w:bCs/>
          <w:sz w:val="22"/>
        </w:rPr>
        <w:t xml:space="preserve"> </w:t>
      </w:r>
      <w:r w:rsidR="00537752" w:rsidRPr="00E164F0">
        <w:rPr>
          <w:b w:val="0"/>
          <w:bCs/>
        </w:rPr>
        <w:t xml:space="preserve"> </w:t>
      </w:r>
    </w:p>
    <w:p w14:paraId="39297C7C" w14:textId="77777777" w:rsidR="0017452F" w:rsidRDefault="00537752">
      <w:pPr>
        <w:spacing w:after="476" w:line="259" w:lineRule="auto"/>
        <w:ind w:left="14" w:firstLine="0"/>
        <w:jc w:val="left"/>
      </w:pPr>
      <w:r>
        <w:rPr>
          <w:sz w:val="22"/>
        </w:rPr>
        <w:t xml:space="preserve">   </w:t>
      </w:r>
      <w:r>
        <w:rPr>
          <w:sz w:val="22"/>
        </w:rPr>
        <w:tab/>
        <w:t xml:space="preserve"> </w:t>
      </w:r>
      <w:r>
        <w:t xml:space="preserve">  </w:t>
      </w:r>
    </w:p>
    <w:p w14:paraId="0799635D" w14:textId="2FDB0478" w:rsidR="0017452F" w:rsidRDefault="00537752">
      <w:pPr>
        <w:spacing w:after="0" w:line="259" w:lineRule="auto"/>
        <w:ind w:left="0" w:right="312" w:firstLine="0"/>
        <w:jc w:val="center"/>
      </w:pPr>
      <w:r>
        <w:rPr>
          <w:b/>
          <w:sz w:val="32"/>
        </w:rPr>
        <w:t>Jednací řád Řídícího výboru MAP II</w:t>
      </w:r>
      <w:r w:rsidR="00E164F0">
        <w:rPr>
          <w:b/>
          <w:sz w:val="32"/>
        </w:rPr>
        <w:t>I</w:t>
      </w:r>
      <w:r>
        <w:rPr>
          <w:b/>
          <w:sz w:val="32"/>
        </w:rPr>
        <w:t xml:space="preserve"> v ORP Tábor </w:t>
      </w:r>
      <w:r>
        <w:t xml:space="preserve">  </w:t>
      </w:r>
    </w:p>
    <w:p w14:paraId="228590BF" w14:textId="77777777" w:rsidR="0017452F" w:rsidRDefault="00537752">
      <w:pPr>
        <w:spacing w:after="177" w:line="259" w:lineRule="auto"/>
        <w:ind w:left="135" w:right="428" w:hanging="10"/>
        <w:jc w:val="center"/>
      </w:pPr>
      <w:r>
        <w:rPr>
          <w:b/>
        </w:rPr>
        <w:t xml:space="preserve">1. </w:t>
      </w:r>
      <w:r>
        <w:t xml:space="preserve">  </w:t>
      </w:r>
    </w:p>
    <w:p w14:paraId="790EBE6F" w14:textId="77777777" w:rsidR="0017452F" w:rsidRDefault="00537752">
      <w:pPr>
        <w:pStyle w:val="Nadpis1"/>
        <w:ind w:left="130" w:right="422"/>
      </w:pPr>
      <w:r>
        <w:t xml:space="preserve">Úvodní ustanovení </w:t>
      </w:r>
      <w:r>
        <w:rPr>
          <w:b w:val="0"/>
        </w:rPr>
        <w:t xml:space="preserve"> </w:t>
      </w:r>
      <w:r>
        <w:t xml:space="preserve"> </w:t>
      </w:r>
    </w:p>
    <w:p w14:paraId="45AC9A5D" w14:textId="77777777" w:rsidR="0017452F" w:rsidRDefault="00537752">
      <w:pPr>
        <w:numPr>
          <w:ilvl w:val="0"/>
          <w:numId w:val="1"/>
        </w:numPr>
        <w:spacing w:after="352"/>
        <w:ind w:right="271" w:hanging="360"/>
      </w:pPr>
      <w:r>
        <w:t xml:space="preserve">Jednací řád Řídícího výboru MAP se vydává podle Statutu Řídícího výboru.   </w:t>
      </w:r>
    </w:p>
    <w:p w14:paraId="09AACD50" w14:textId="77777777" w:rsidR="0017452F" w:rsidRDefault="00537752">
      <w:pPr>
        <w:numPr>
          <w:ilvl w:val="0"/>
          <w:numId w:val="1"/>
        </w:numPr>
        <w:spacing w:after="184"/>
        <w:ind w:right="271" w:hanging="360"/>
      </w:pPr>
      <w:r>
        <w:t xml:space="preserve">Jednací řád Řídícího výboru MAP stanoví způsob účasti, jednání a hlasování Řídícího výboru.   </w:t>
      </w:r>
    </w:p>
    <w:p w14:paraId="78931C46" w14:textId="77777777" w:rsidR="0017452F" w:rsidRDefault="00537752">
      <w:pPr>
        <w:spacing w:after="177" w:line="259" w:lineRule="auto"/>
        <w:ind w:left="135" w:right="428" w:hanging="10"/>
        <w:jc w:val="center"/>
      </w:pPr>
      <w:r>
        <w:rPr>
          <w:b/>
        </w:rPr>
        <w:t xml:space="preserve">2. </w:t>
      </w:r>
      <w:r>
        <w:t xml:space="preserve">  </w:t>
      </w:r>
    </w:p>
    <w:p w14:paraId="3EB09BB2" w14:textId="77777777" w:rsidR="0017452F" w:rsidRDefault="00537752">
      <w:pPr>
        <w:pStyle w:val="Nadpis1"/>
        <w:ind w:left="130" w:right="427"/>
      </w:pPr>
      <w:r>
        <w:t xml:space="preserve">Účast na jednání </w:t>
      </w:r>
      <w:r>
        <w:rPr>
          <w:b w:val="0"/>
        </w:rPr>
        <w:t xml:space="preserve"> </w:t>
      </w:r>
      <w:r>
        <w:t xml:space="preserve"> </w:t>
      </w:r>
    </w:p>
    <w:p w14:paraId="1851D5A8" w14:textId="77777777" w:rsidR="0017452F" w:rsidRDefault="00537752">
      <w:pPr>
        <w:numPr>
          <w:ilvl w:val="0"/>
          <w:numId w:val="2"/>
        </w:numPr>
        <w:ind w:right="271" w:hanging="427"/>
      </w:pPr>
      <w:r>
        <w:t xml:space="preserve">Členství v Řídícím výboru je dobrovolné. Zastoupení členů v Řídícím výboru odpovídá struktuře vzdělávání v území a zastoupeni jsou všichni klíčový aktéři ovlivňující oblast vzdělávání na území MAP.   </w:t>
      </w:r>
    </w:p>
    <w:p w14:paraId="167E4748" w14:textId="77777777" w:rsidR="0017452F" w:rsidRDefault="00537752">
      <w:pPr>
        <w:numPr>
          <w:ilvl w:val="0"/>
          <w:numId w:val="2"/>
        </w:numPr>
        <w:ind w:right="271" w:hanging="427"/>
      </w:pPr>
      <w:r>
        <w:t>Členové Řídícího výboru jsou povinni se účastnit jednání, v případě nepřítomnosti jsou povinni se omluvit předsedovi nebo realizátorovi projektu.</w:t>
      </w:r>
      <w:r>
        <w:rPr>
          <w:sz w:val="22"/>
        </w:rPr>
        <w:t xml:space="preserve"> </w:t>
      </w:r>
      <w:r>
        <w:t xml:space="preserve">  </w:t>
      </w:r>
    </w:p>
    <w:p w14:paraId="05813FF2" w14:textId="77777777" w:rsidR="0017452F" w:rsidRDefault="00537752">
      <w:pPr>
        <w:numPr>
          <w:ilvl w:val="0"/>
          <w:numId w:val="2"/>
        </w:numPr>
        <w:spacing w:after="212"/>
        <w:ind w:right="271" w:hanging="427"/>
      </w:pPr>
      <w:r>
        <w:t xml:space="preserve">K jednání Řídícího výboru je možno podle potřeby přizvat hosty.   </w:t>
      </w:r>
    </w:p>
    <w:p w14:paraId="4A7ECF86" w14:textId="77777777" w:rsidR="0017452F" w:rsidRDefault="00537752">
      <w:pPr>
        <w:spacing w:after="202" w:line="259" w:lineRule="auto"/>
        <w:ind w:left="14" w:firstLine="0"/>
        <w:jc w:val="left"/>
      </w:pPr>
      <w:r>
        <w:rPr>
          <w:sz w:val="22"/>
        </w:rPr>
        <w:t xml:space="preserve"> </w:t>
      </w:r>
      <w:r>
        <w:t xml:space="preserve">  </w:t>
      </w:r>
    </w:p>
    <w:p w14:paraId="7DEC32C0" w14:textId="77777777" w:rsidR="0017452F" w:rsidRDefault="00537752">
      <w:pPr>
        <w:spacing w:after="177" w:line="259" w:lineRule="auto"/>
        <w:ind w:left="135" w:right="428" w:hanging="10"/>
        <w:jc w:val="center"/>
      </w:pPr>
      <w:r>
        <w:rPr>
          <w:b/>
        </w:rPr>
        <w:t xml:space="preserve">3. </w:t>
      </w:r>
      <w:r>
        <w:t xml:space="preserve">  </w:t>
      </w:r>
    </w:p>
    <w:p w14:paraId="6963DF3E" w14:textId="77777777" w:rsidR="0017452F" w:rsidRDefault="00537752">
      <w:pPr>
        <w:pStyle w:val="Nadpis1"/>
        <w:ind w:left="130" w:right="431"/>
      </w:pPr>
      <w:r>
        <w:t xml:space="preserve">Jednání  </w:t>
      </w:r>
      <w:r>
        <w:rPr>
          <w:b w:val="0"/>
        </w:rPr>
        <w:t xml:space="preserve"> </w:t>
      </w:r>
      <w:r>
        <w:t xml:space="preserve"> </w:t>
      </w:r>
    </w:p>
    <w:p w14:paraId="37783227" w14:textId="77777777" w:rsidR="0017452F" w:rsidRDefault="00537752">
      <w:pPr>
        <w:numPr>
          <w:ilvl w:val="0"/>
          <w:numId w:val="3"/>
        </w:numPr>
        <w:ind w:right="271" w:hanging="427"/>
      </w:pPr>
      <w:r>
        <w:t xml:space="preserve">Jednání Řídícího výboru řídí předseda Řídícího výboru, v případě jeho nepřítomnosti koordinátor projektu.   </w:t>
      </w:r>
    </w:p>
    <w:p w14:paraId="1928D9D6" w14:textId="77777777" w:rsidR="0017452F" w:rsidRDefault="00537752">
      <w:pPr>
        <w:numPr>
          <w:ilvl w:val="0"/>
          <w:numId w:val="3"/>
        </w:numPr>
        <w:ind w:right="271" w:hanging="427"/>
      </w:pPr>
      <w:r>
        <w:lastRenderedPageBreak/>
        <w:t>Řídící výbor se schází dle potřeby, nejméně dvakrát za kalendářní rok.</w:t>
      </w:r>
      <w:r>
        <w:rPr>
          <w:color w:val="FF0000"/>
        </w:rPr>
        <w:t xml:space="preserve"> </w:t>
      </w:r>
      <w:r>
        <w:t xml:space="preserve">Jednání Řídícího výboru svolává koordinátor projektu, pozvánka s programem je zaslána nejméně 7 dní před jednáním.   </w:t>
      </w:r>
    </w:p>
    <w:p w14:paraId="4F39AE26" w14:textId="77777777" w:rsidR="0017452F" w:rsidRDefault="00537752">
      <w:pPr>
        <w:numPr>
          <w:ilvl w:val="0"/>
          <w:numId w:val="3"/>
        </w:numPr>
        <w:ind w:right="271" w:hanging="427"/>
      </w:pPr>
      <w:r>
        <w:t xml:space="preserve">Jednání Řídícího výboru probíhá podle předem stanoveného programu a je moderované.   </w:t>
      </w:r>
    </w:p>
    <w:p w14:paraId="72DAC59D" w14:textId="77777777" w:rsidR="0017452F" w:rsidRDefault="00537752">
      <w:pPr>
        <w:numPr>
          <w:ilvl w:val="0"/>
          <w:numId w:val="3"/>
        </w:numPr>
        <w:ind w:right="271" w:hanging="427"/>
      </w:pPr>
      <w:r>
        <w:t xml:space="preserve">Z každého jednání Řídícího výboru je zpracován zápis, který ověřují svým podpisem předseda Řídícího výboru a koordinátor projektu.   </w:t>
      </w:r>
    </w:p>
    <w:p w14:paraId="4DDC01C2" w14:textId="77777777" w:rsidR="0017452F" w:rsidRDefault="00537752">
      <w:pPr>
        <w:numPr>
          <w:ilvl w:val="0"/>
          <w:numId w:val="3"/>
        </w:numPr>
        <w:ind w:right="271" w:hanging="427"/>
      </w:pPr>
      <w:r>
        <w:t>V případech časové tísně nebo nemožnosti většiny všech členů Řídícího výboru dostavit se na jednání je možné usnesení přijímat per rollam (elektronicky ke stanovému datu). Usnesení přijímané tímto způsobem je schváleno, pokud s ním vysloví souhlas většina členů Řídícího výboru. Lhůtu pro takové hlasování určí předseda.</w:t>
      </w:r>
      <w:r>
        <w:rPr>
          <w:color w:val="FF0000"/>
        </w:rPr>
        <w:t xml:space="preserve"> </w:t>
      </w:r>
      <w:r>
        <w:t xml:space="preserve">  </w:t>
      </w:r>
    </w:p>
    <w:p w14:paraId="0C3C54B5" w14:textId="77777777" w:rsidR="0017452F" w:rsidRDefault="00537752">
      <w:pPr>
        <w:numPr>
          <w:ilvl w:val="0"/>
          <w:numId w:val="3"/>
        </w:numPr>
        <w:ind w:right="271" w:hanging="427"/>
      </w:pPr>
      <w:r>
        <w:t xml:space="preserve">Řídící výbor je usnášení schopný, pokud je přítomna většina všech členů. Řídící výbor může projednat věc, která není na programu zasedání, souhlasí-li s tím většina přítomných členů Řídícího výboru.    </w:t>
      </w:r>
    </w:p>
    <w:p w14:paraId="018A6672" w14:textId="77777777" w:rsidR="0017452F" w:rsidRDefault="00537752">
      <w:pPr>
        <w:numPr>
          <w:ilvl w:val="0"/>
          <w:numId w:val="3"/>
        </w:numPr>
        <w:spacing w:after="184"/>
        <w:ind w:right="271" w:hanging="427"/>
      </w:pPr>
      <w:r>
        <w:t xml:space="preserve">Každý člen Řídícího výboru má jeden hlas. K platnému rozhodnutí či usnesení Řídícího výboru je třeba souhlasu většiny všech členů Řídícího výboru.   </w:t>
      </w:r>
    </w:p>
    <w:p w14:paraId="3588C9DA" w14:textId="77777777" w:rsidR="0017452F" w:rsidRDefault="00537752">
      <w:pPr>
        <w:spacing w:after="176" w:line="259" w:lineRule="auto"/>
        <w:ind w:left="442" w:firstLine="0"/>
        <w:jc w:val="left"/>
      </w:pPr>
      <w:r>
        <w:t xml:space="preserve">   </w:t>
      </w:r>
    </w:p>
    <w:p w14:paraId="5BB49101" w14:textId="77777777" w:rsidR="0017452F" w:rsidRDefault="00537752">
      <w:pPr>
        <w:spacing w:after="177" w:line="259" w:lineRule="auto"/>
        <w:ind w:left="135" w:hanging="10"/>
        <w:jc w:val="center"/>
      </w:pPr>
      <w:r>
        <w:rPr>
          <w:b/>
        </w:rPr>
        <w:t xml:space="preserve">4. </w:t>
      </w:r>
      <w:r>
        <w:t xml:space="preserve">  </w:t>
      </w:r>
    </w:p>
    <w:p w14:paraId="392BAC61" w14:textId="77777777" w:rsidR="0017452F" w:rsidRDefault="00537752">
      <w:pPr>
        <w:pStyle w:val="Nadpis1"/>
        <w:spacing w:after="176"/>
        <w:ind w:left="130" w:right="0"/>
      </w:pPr>
      <w:r>
        <w:t xml:space="preserve">Závěrečné ustanovení </w:t>
      </w:r>
      <w:r>
        <w:rPr>
          <w:b w:val="0"/>
        </w:rPr>
        <w:t xml:space="preserve"> </w:t>
      </w:r>
      <w:r>
        <w:t xml:space="preserve"> </w:t>
      </w:r>
    </w:p>
    <w:p w14:paraId="5B80D6FC" w14:textId="77777777" w:rsidR="0017452F" w:rsidRDefault="00537752">
      <w:pPr>
        <w:spacing w:after="308" w:line="259" w:lineRule="auto"/>
        <w:ind w:left="451" w:firstLine="0"/>
        <w:jc w:val="center"/>
      </w:pPr>
      <w:r>
        <w:rPr>
          <w:b/>
        </w:rPr>
        <w:t xml:space="preserve"> </w:t>
      </w:r>
      <w:r>
        <w:t xml:space="preserve">  </w:t>
      </w:r>
    </w:p>
    <w:p w14:paraId="78C461E7" w14:textId="77777777" w:rsidR="0017452F" w:rsidRDefault="00537752">
      <w:pPr>
        <w:spacing w:after="176"/>
        <w:ind w:left="-15" w:right="271" w:firstLine="0"/>
      </w:pPr>
      <w:r>
        <w:t>1.</w:t>
      </w:r>
      <w:r>
        <w:rPr>
          <w:rFonts w:ascii="Arial" w:eastAsia="Arial" w:hAnsi="Arial" w:cs="Arial"/>
        </w:rPr>
        <w:t xml:space="preserve"> </w:t>
      </w:r>
      <w:r>
        <w:t xml:space="preserve">Tento Jednací řád nabývá účinnosti dnem schválení Řídícím výborem.    </w:t>
      </w:r>
    </w:p>
    <w:p w14:paraId="3743612B" w14:textId="533C82BC" w:rsidR="0017452F" w:rsidRDefault="00537752" w:rsidP="00537752">
      <w:pPr>
        <w:spacing w:after="176" w:line="259" w:lineRule="auto"/>
        <w:ind w:left="802" w:firstLine="0"/>
        <w:jc w:val="left"/>
      </w:pPr>
      <w:r>
        <w:t xml:space="preserve">      </w:t>
      </w:r>
    </w:p>
    <w:p w14:paraId="2EF37E0C" w14:textId="77777777" w:rsidR="0017452F" w:rsidRDefault="00537752">
      <w:pPr>
        <w:spacing w:after="178" w:line="259" w:lineRule="auto"/>
        <w:ind w:left="442" w:firstLine="0"/>
        <w:jc w:val="left"/>
      </w:pPr>
      <w:r>
        <w:t xml:space="preserve">   </w:t>
      </w:r>
    </w:p>
    <w:p w14:paraId="4E375A84" w14:textId="658348B3" w:rsidR="0017452F" w:rsidRDefault="00537752">
      <w:pPr>
        <w:spacing w:after="176" w:line="259" w:lineRule="auto"/>
        <w:ind w:left="452" w:hanging="10"/>
        <w:jc w:val="left"/>
      </w:pPr>
      <w:r>
        <w:t>V Táboře dne 26. 2. 20</w:t>
      </w:r>
      <w:r w:rsidR="00E164F0">
        <w:t>23</w:t>
      </w:r>
      <w:r>
        <w:t xml:space="preserve">   </w:t>
      </w:r>
    </w:p>
    <w:p w14:paraId="3C9850B8" w14:textId="77777777" w:rsidR="0017452F" w:rsidRDefault="00537752">
      <w:pPr>
        <w:spacing w:after="180" w:line="259" w:lineRule="auto"/>
        <w:ind w:left="442" w:firstLine="0"/>
        <w:jc w:val="left"/>
      </w:pPr>
      <w:r>
        <w:t xml:space="preserve">   </w:t>
      </w:r>
    </w:p>
    <w:p w14:paraId="3A5D89B9" w14:textId="77777777" w:rsidR="0017452F" w:rsidRDefault="00537752">
      <w:pPr>
        <w:spacing w:after="178" w:line="259" w:lineRule="auto"/>
        <w:ind w:left="442" w:firstLine="0"/>
        <w:jc w:val="left"/>
      </w:pPr>
      <w:r>
        <w:t xml:space="preserve">     </w:t>
      </w:r>
    </w:p>
    <w:p w14:paraId="317940BF" w14:textId="77777777" w:rsidR="0017452F" w:rsidRDefault="00537752">
      <w:pPr>
        <w:spacing w:after="220" w:line="259" w:lineRule="auto"/>
        <w:ind w:left="442" w:firstLine="0"/>
        <w:jc w:val="left"/>
      </w:pPr>
      <w:r>
        <w:t xml:space="preserve">   </w:t>
      </w:r>
    </w:p>
    <w:p w14:paraId="13B59E41" w14:textId="77777777" w:rsidR="0017452F" w:rsidRDefault="00537752">
      <w:pPr>
        <w:tabs>
          <w:tab w:val="center" w:pos="1773"/>
          <w:tab w:val="center" w:pos="4095"/>
          <w:tab w:val="center" w:pos="4971"/>
          <w:tab w:val="center" w:pos="7230"/>
        </w:tabs>
        <w:spacing w:after="221" w:line="259" w:lineRule="auto"/>
        <w:ind w:left="-15" w:firstLine="0"/>
        <w:jc w:val="left"/>
      </w:pPr>
      <w:r>
        <w:rPr>
          <w:sz w:val="22"/>
        </w:rPr>
        <w:t xml:space="preserve">  </w:t>
      </w:r>
      <w:r>
        <w:rPr>
          <w:sz w:val="22"/>
        </w:rPr>
        <w:tab/>
      </w:r>
      <w:r>
        <w:t xml:space="preserve">............................................   </w:t>
      </w:r>
      <w:r>
        <w:tab/>
        <w:t xml:space="preserve">    </w:t>
      </w:r>
      <w:r>
        <w:tab/>
        <w:t xml:space="preserve">   </w:t>
      </w:r>
      <w:r>
        <w:tab/>
        <w:t xml:space="preserve">        ............................................   </w:t>
      </w:r>
    </w:p>
    <w:p w14:paraId="3984E64D" w14:textId="77777777" w:rsidR="0017452F" w:rsidRDefault="00537752">
      <w:pPr>
        <w:tabs>
          <w:tab w:val="center" w:pos="1674"/>
          <w:tab w:val="center" w:pos="4095"/>
          <w:tab w:val="center" w:pos="4971"/>
          <w:tab w:val="center" w:pos="7054"/>
        </w:tabs>
        <w:ind w:left="-15" w:firstLine="0"/>
        <w:jc w:val="left"/>
      </w:pPr>
      <w:r>
        <w:rPr>
          <w:sz w:val="22"/>
        </w:rPr>
        <w:t xml:space="preserve">  </w:t>
      </w:r>
      <w:r>
        <w:rPr>
          <w:sz w:val="22"/>
        </w:rPr>
        <w:tab/>
      </w:r>
      <w:r>
        <w:t xml:space="preserve">Předseda Řídícího výboru   </w:t>
      </w:r>
      <w:r>
        <w:tab/>
        <w:t xml:space="preserve">    </w:t>
      </w:r>
      <w:r>
        <w:tab/>
        <w:t xml:space="preserve">   </w:t>
      </w:r>
      <w:r>
        <w:tab/>
        <w:t xml:space="preserve">          Za realizátora projektu </w:t>
      </w:r>
      <w:r>
        <w:rPr>
          <w:b/>
        </w:rPr>
        <w:t xml:space="preserve"> </w:t>
      </w:r>
      <w:r>
        <w:t xml:space="preserve">  </w:t>
      </w:r>
    </w:p>
    <w:sectPr w:rsidR="0017452F">
      <w:pgSz w:w="11899" w:h="16841"/>
      <w:pgMar w:top="1416" w:right="1093" w:bottom="2324"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7757"/>
    <w:multiLevelType w:val="hybridMultilevel"/>
    <w:tmpl w:val="089216B8"/>
    <w:lvl w:ilvl="0" w:tplc="04440EF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C45E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66B3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02D5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6A1A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A8E6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0C01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9C96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10AC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225746"/>
    <w:multiLevelType w:val="hybridMultilevel"/>
    <w:tmpl w:val="D8A81F5A"/>
    <w:lvl w:ilvl="0" w:tplc="02B8874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205B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DAD4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0E28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183E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B45E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A251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9CA8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A28B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470553"/>
    <w:multiLevelType w:val="hybridMultilevel"/>
    <w:tmpl w:val="DDBE7714"/>
    <w:lvl w:ilvl="0" w:tplc="CE5C57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F6E6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C2E9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303B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A858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5ACF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967F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BA36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E0E5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24146483">
    <w:abstractNumId w:val="2"/>
  </w:num>
  <w:num w:numId="2" w16cid:durableId="1461805440">
    <w:abstractNumId w:val="0"/>
  </w:num>
  <w:num w:numId="3" w16cid:durableId="138098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2F"/>
    <w:rsid w:val="0017452F"/>
    <w:rsid w:val="00537752"/>
    <w:rsid w:val="00E16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72E"/>
  <w15:docId w15:val="{3030FAC9-0CD3-4133-A492-D85F1A2F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17" w:line="256" w:lineRule="auto"/>
      <w:ind w:left="437" w:hanging="437"/>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310"/>
      <w:ind w:left="10" w:right="303"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2004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Jednací řád Tábor II</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 Tábor II</dc:title>
  <dc:subject/>
  <dc:creator>uzivatel</dc:creator>
  <cp:keywords/>
  <cp:lastModifiedBy>uzivatel</cp:lastModifiedBy>
  <cp:revision>2</cp:revision>
  <cp:lastPrinted>2019-02-20T11:59:00Z</cp:lastPrinted>
  <dcterms:created xsi:type="dcterms:W3CDTF">2023-02-01T15:06:00Z</dcterms:created>
  <dcterms:modified xsi:type="dcterms:W3CDTF">2023-02-01T15:06:00Z</dcterms:modified>
</cp:coreProperties>
</file>