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6C585D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bookmarkStart w:id="1" w:name="_GoBack"/>
      <w:bookmarkEnd w:id="1"/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C81898">
        <w:rPr>
          <w:rFonts w:ascii="Calibri" w:hAnsi="Calibri" w:cs="Calibri"/>
          <w:b/>
          <w:sz w:val="28"/>
          <w:szCs w:val="28"/>
        </w:rPr>
        <w:t xml:space="preserve">pracovní skupina pro </w:t>
      </w:r>
      <w:r w:rsidR="00796E2C">
        <w:rPr>
          <w:rFonts w:ascii="Calibri" w:hAnsi="Calibri" w:cs="Calibri"/>
          <w:b/>
          <w:sz w:val="28"/>
          <w:szCs w:val="28"/>
        </w:rPr>
        <w:t>financování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r w:rsidR="00DA4171">
        <w:rPr>
          <w:rFonts w:ascii="Calibri" w:hAnsi="Calibri" w:cs="Calibri"/>
          <w:b/>
          <w:sz w:val="24"/>
          <w:szCs w:val="24"/>
        </w:rPr>
        <w:t>17. 6</w:t>
      </w:r>
      <w:r w:rsidR="00956E1F">
        <w:rPr>
          <w:rFonts w:ascii="Calibri" w:hAnsi="Calibri" w:cs="Calibri"/>
          <w:b/>
          <w:sz w:val="24"/>
          <w:szCs w:val="24"/>
        </w:rPr>
        <w:t>. 2019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B65ECF">
        <w:rPr>
          <w:rFonts w:ascii="Calibri" w:hAnsi="Calibri" w:cs="Calibri"/>
          <w:b/>
          <w:sz w:val="24"/>
          <w:szCs w:val="24"/>
        </w:rPr>
        <w:t>MěÚ</w:t>
      </w:r>
      <w:proofErr w:type="spellEnd"/>
      <w:r w:rsidR="00956E1F">
        <w:rPr>
          <w:rFonts w:ascii="Calibri" w:hAnsi="Calibri" w:cs="Calibri"/>
          <w:b/>
          <w:sz w:val="24"/>
          <w:szCs w:val="24"/>
        </w:rPr>
        <w:t>, Tábor</w:t>
      </w:r>
    </w:p>
    <w:p w:rsidR="002A52E3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956E1F" w:rsidRPr="008C648B" w:rsidRDefault="00956E1F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982918" w:rsidRDefault="00D709F0" w:rsidP="00982918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Mgr. Musil</w:t>
      </w:r>
      <w:r w:rsidR="00982918">
        <w:rPr>
          <w:sz w:val="24"/>
          <w:szCs w:val="24"/>
        </w:rPr>
        <w:t xml:space="preserve"> – </w:t>
      </w:r>
      <w:r>
        <w:rPr>
          <w:sz w:val="24"/>
          <w:szCs w:val="24"/>
        </w:rPr>
        <w:t>garant PS</w:t>
      </w:r>
      <w:r w:rsidR="00982918">
        <w:rPr>
          <w:sz w:val="24"/>
          <w:szCs w:val="24"/>
        </w:rPr>
        <w:t>:</w:t>
      </w:r>
    </w:p>
    <w:p w:rsidR="00982918" w:rsidRDefault="00982918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56E1F" w:rsidRPr="00C81898">
        <w:rPr>
          <w:sz w:val="24"/>
          <w:szCs w:val="24"/>
        </w:rPr>
        <w:t xml:space="preserve">řivítání všech přítomných </w:t>
      </w:r>
    </w:p>
    <w:p w:rsidR="00D709F0" w:rsidRDefault="00D709F0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seznámení s programem:</w:t>
      </w:r>
    </w:p>
    <w:p w:rsidR="00D709F0" w:rsidRDefault="00D709F0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informace k aktuálně vyhlášeným výzvám</w:t>
      </w:r>
    </w:p>
    <w:p w:rsidR="00D709F0" w:rsidRDefault="00D709F0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stručný výčet všech výzev vyhláše</w:t>
      </w:r>
      <w:r w:rsidR="00732D36">
        <w:rPr>
          <w:sz w:val="24"/>
          <w:szCs w:val="24"/>
        </w:rPr>
        <w:t>ných od poslední schůzky PS pro </w:t>
      </w:r>
      <w:r>
        <w:rPr>
          <w:sz w:val="24"/>
          <w:szCs w:val="24"/>
        </w:rPr>
        <w:t>financování</w:t>
      </w:r>
    </w:p>
    <w:p w:rsidR="00D709F0" w:rsidRDefault="00D709F0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vyhodnocení financování aktivit z AP 2018/2019</w:t>
      </w:r>
    </w:p>
    <w:p w:rsidR="00D709F0" w:rsidRDefault="00D709F0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příprava AP 2019/2020 z hlediska financování</w:t>
      </w:r>
    </w:p>
    <w:p w:rsidR="00D709F0" w:rsidRDefault="00D709F0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diskuse </w:t>
      </w:r>
    </w:p>
    <w:p w:rsidR="00D709F0" w:rsidRDefault="001518B2" w:rsidP="00D709F0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 w:rsidRPr="00D709F0">
        <w:rPr>
          <w:sz w:val="24"/>
          <w:szCs w:val="24"/>
        </w:rPr>
        <w:t xml:space="preserve">stručné informace </w:t>
      </w:r>
      <w:r w:rsidR="00D709F0" w:rsidRPr="00D709F0">
        <w:rPr>
          <w:sz w:val="24"/>
          <w:szCs w:val="24"/>
        </w:rPr>
        <w:t>o postupu realizace</w:t>
      </w:r>
      <w:r w:rsidRPr="00D709F0">
        <w:rPr>
          <w:sz w:val="24"/>
          <w:szCs w:val="24"/>
        </w:rPr>
        <w:t xml:space="preserve"> projektu</w:t>
      </w:r>
      <w:r w:rsidR="00D709F0">
        <w:rPr>
          <w:sz w:val="24"/>
          <w:szCs w:val="24"/>
        </w:rPr>
        <w:t>:</w:t>
      </w:r>
    </w:p>
    <w:p w:rsidR="007D0D73" w:rsidRDefault="007D0D73" w:rsidP="00D709F0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kontinuálně pokračují práce na obou částech MAP:</w:t>
      </w:r>
    </w:p>
    <w:p w:rsidR="00D709F0" w:rsidRDefault="007D0D73" w:rsidP="007D0D73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zpracovány dotazníky – Potřeby škol; Rovné příležitosti</w:t>
      </w:r>
    </w:p>
    <w:p w:rsidR="007D0D73" w:rsidRDefault="007D0D73" w:rsidP="007D0D73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vyhodnocen AP 2018/2019</w:t>
      </w:r>
    </w:p>
    <w:p w:rsidR="006B1AE5" w:rsidRDefault="006B1AE5" w:rsidP="007D0D73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sestaven AP 2019/2020</w:t>
      </w:r>
    </w:p>
    <w:p w:rsidR="001518B2" w:rsidRDefault="006B1AE5" w:rsidP="006B1AE5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probíhají schůzky příslušných pracovních skupin</w:t>
      </w:r>
    </w:p>
    <w:p w:rsidR="00D13DD1" w:rsidRPr="00D13DD1" w:rsidRDefault="00D13DD1" w:rsidP="00D13DD1">
      <w:pPr>
        <w:pStyle w:val="Odstavecseseznamem"/>
        <w:numPr>
          <w:ilvl w:val="2"/>
          <w:numId w:val="14"/>
        </w:numPr>
        <w:rPr>
          <w:rFonts w:ascii="Calibri" w:eastAsia="Times New Roman" w:hAnsi="Calibri" w:cs="Times New Roman"/>
          <w:sz w:val="24"/>
          <w:szCs w:val="24"/>
        </w:rPr>
      </w:pPr>
      <w:r w:rsidRPr="00D13DD1">
        <w:rPr>
          <w:rFonts w:ascii="Calibri" w:eastAsia="Times New Roman" w:hAnsi="Calibri" w:cs="Times New Roman"/>
          <w:sz w:val="24"/>
          <w:szCs w:val="24"/>
        </w:rPr>
        <w:t xml:space="preserve">dne 26.2.2019 od 14 hodin </w:t>
      </w:r>
      <w:r>
        <w:rPr>
          <w:rFonts w:ascii="Calibri" w:eastAsia="Times New Roman" w:hAnsi="Calibri" w:cs="Times New Roman"/>
          <w:sz w:val="24"/>
          <w:szCs w:val="24"/>
        </w:rPr>
        <w:t>proběhla řádná</w:t>
      </w:r>
      <w:r w:rsidRPr="00D13DD1">
        <w:rPr>
          <w:rFonts w:ascii="Calibri" w:eastAsia="Times New Roman" w:hAnsi="Calibri" w:cs="Times New Roman"/>
          <w:sz w:val="24"/>
          <w:szCs w:val="24"/>
        </w:rPr>
        <w:t xml:space="preserve"> schůze ŘV</w:t>
      </w:r>
      <w:r>
        <w:rPr>
          <w:rFonts w:ascii="Calibri" w:eastAsia="Times New Roman" w:hAnsi="Calibri" w:cs="Times New Roman"/>
          <w:sz w:val="24"/>
          <w:szCs w:val="24"/>
        </w:rPr>
        <w:t xml:space="preserve"> – mimo jiné byl schvalován i aktualizovaný Strategický rámec investičních priorit MAP – na zasedání byl přítomen zpravodaj PS – MgA. Kukla – prezentovány výstupy z poslední schůzky PS pro financování</w:t>
      </w:r>
    </w:p>
    <w:p w:rsidR="006B1AE5" w:rsidRPr="006B1AE5" w:rsidRDefault="006B1AE5" w:rsidP="006B1AE5">
      <w:pPr>
        <w:pStyle w:val="Odstavecseseznamem1"/>
        <w:spacing w:line="240" w:lineRule="auto"/>
        <w:ind w:left="2880"/>
        <w:contextualSpacing/>
        <w:jc w:val="both"/>
        <w:rPr>
          <w:sz w:val="24"/>
          <w:szCs w:val="24"/>
        </w:rPr>
      </w:pPr>
    </w:p>
    <w:p w:rsidR="00C81898" w:rsidRDefault="00790382" w:rsidP="0079038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MgA. Kukla, Bc. Daňková </w:t>
      </w:r>
      <w:r w:rsidR="00D13DD1">
        <w:rPr>
          <w:sz w:val="24"/>
          <w:szCs w:val="24"/>
        </w:rPr>
        <w:t>–</w:t>
      </w:r>
      <w:r>
        <w:rPr>
          <w:sz w:val="24"/>
          <w:szCs w:val="24"/>
        </w:rPr>
        <w:t xml:space="preserve"> informace</w:t>
      </w:r>
      <w:r w:rsidR="00D13DD1">
        <w:rPr>
          <w:sz w:val="24"/>
          <w:szCs w:val="24"/>
        </w:rPr>
        <w:t xml:space="preserve"> – aktuálně vyhlášené výzvy</w:t>
      </w:r>
      <w:r>
        <w:rPr>
          <w:sz w:val="24"/>
          <w:szCs w:val="24"/>
        </w:rPr>
        <w:t>:</w:t>
      </w:r>
    </w:p>
    <w:p w:rsidR="00790382" w:rsidRPr="006B1AE5" w:rsidRDefault="00790382" w:rsidP="006B1AE5">
      <w:pPr>
        <w:pStyle w:val="Odstavecseseznamem1"/>
        <w:numPr>
          <w:ilvl w:val="1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OPZ – výzva č. </w:t>
      </w:r>
      <w:r w:rsidR="006B1AE5">
        <w:rPr>
          <w:sz w:val="24"/>
          <w:szCs w:val="24"/>
        </w:rPr>
        <w:t>111</w:t>
      </w:r>
      <w:r>
        <w:rPr>
          <w:sz w:val="24"/>
          <w:szCs w:val="24"/>
        </w:rPr>
        <w:t xml:space="preserve"> – </w:t>
      </w:r>
      <w:r w:rsidR="006B1AE5" w:rsidRPr="006B1AE5">
        <w:rPr>
          <w:sz w:val="24"/>
          <w:szCs w:val="24"/>
        </w:rPr>
        <w:t>Podpora vzniku a provozu dětských skupin pro podniky i veřejnost</w:t>
      </w:r>
      <w:r w:rsidR="006B1AE5">
        <w:rPr>
          <w:sz w:val="24"/>
          <w:szCs w:val="24"/>
        </w:rPr>
        <w:t xml:space="preserve"> </w:t>
      </w:r>
      <w:r>
        <w:rPr>
          <w:sz w:val="24"/>
          <w:szCs w:val="24"/>
        </w:rPr>
        <w:t>– ukončení příjmu žádosti</w:t>
      </w:r>
      <w:r w:rsidR="00906972">
        <w:rPr>
          <w:sz w:val="24"/>
          <w:szCs w:val="24"/>
        </w:rPr>
        <w:t>: 1</w:t>
      </w:r>
      <w:r w:rsidR="006B1AE5">
        <w:rPr>
          <w:sz w:val="24"/>
          <w:szCs w:val="24"/>
        </w:rPr>
        <w:t>5.8</w:t>
      </w:r>
      <w:r w:rsidR="00906972">
        <w:rPr>
          <w:sz w:val="24"/>
          <w:szCs w:val="24"/>
        </w:rPr>
        <w:t>.2019</w:t>
      </w:r>
      <w:r w:rsidR="00695DE7">
        <w:rPr>
          <w:sz w:val="24"/>
          <w:szCs w:val="24"/>
        </w:rPr>
        <w:t xml:space="preserve"> - </w:t>
      </w:r>
      <w:hyperlink r:id="rId8" w:history="1">
        <w:r w:rsidR="006B1AE5">
          <w:rPr>
            <w:rStyle w:val="Hypertextovodkaz"/>
            <w:rFonts w:ascii="Segoe UI" w:hAnsi="Segoe UI" w:cs="Segoe UI"/>
            <w:sz w:val="20"/>
            <w:szCs w:val="20"/>
          </w:rPr>
          <w:t>https://www.esfcr.cz/vyzva-111-opz</w:t>
        </w:r>
      </w:hyperlink>
    </w:p>
    <w:p w:rsidR="00695DE7" w:rsidRDefault="006B1AE5" w:rsidP="006B1AE5">
      <w:pPr>
        <w:pStyle w:val="Odstavecseseznamem1"/>
        <w:numPr>
          <w:ilvl w:val="1"/>
          <w:numId w:val="14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OPŽP – výzva č. 121 - </w:t>
      </w:r>
      <w:r w:rsidRPr="006B1AE5">
        <w:rPr>
          <w:sz w:val="24"/>
          <w:szCs w:val="24"/>
        </w:rPr>
        <w:t xml:space="preserve">Snížit </w:t>
      </w:r>
      <w:proofErr w:type="spellStart"/>
      <w:r w:rsidRPr="006B1AE5">
        <w:rPr>
          <w:sz w:val="24"/>
          <w:szCs w:val="24"/>
        </w:rPr>
        <w:t>energ</w:t>
      </w:r>
      <w:proofErr w:type="spellEnd"/>
      <w:r w:rsidRPr="006B1AE5">
        <w:rPr>
          <w:sz w:val="24"/>
          <w:szCs w:val="24"/>
        </w:rPr>
        <w:t>. náročnost veřejných budov a zvýšit využití OZE</w:t>
      </w:r>
      <w:r>
        <w:rPr>
          <w:sz w:val="24"/>
          <w:szCs w:val="24"/>
        </w:rPr>
        <w:t xml:space="preserve"> – ukončení příjmu žádostí: 3.2.2020</w:t>
      </w:r>
      <w:r w:rsidRPr="006B1AE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9" w:history="1">
        <w:r w:rsidRPr="00D74F13">
          <w:rPr>
            <w:rStyle w:val="Hypertextovodkaz"/>
            <w:sz w:val="24"/>
            <w:szCs w:val="24"/>
          </w:rPr>
          <w:t>https://www.opzp.cz/dokumenty/detail/?id=1909</w:t>
        </w:r>
      </w:hyperlink>
      <w:r>
        <w:rPr>
          <w:sz w:val="24"/>
          <w:szCs w:val="24"/>
        </w:rPr>
        <w:t xml:space="preserve"> </w:t>
      </w:r>
    </w:p>
    <w:p w:rsidR="00D13DD1" w:rsidRDefault="00D13DD1" w:rsidP="00D13DD1">
      <w:pPr>
        <w:pStyle w:val="Odstavecseseznamem1"/>
        <w:numPr>
          <w:ilvl w:val="1"/>
          <w:numId w:val="14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MŠMT – výzva č. 71 – Zvyšování kvality neformálního vzdělávání – ukončení příjmu žádostí: 6.1.2020 -  </w:t>
      </w:r>
      <w:hyperlink r:id="rId10" w:history="1">
        <w:r w:rsidRPr="00D74F13">
          <w:rPr>
            <w:rStyle w:val="Hypertextovodkaz"/>
            <w:sz w:val="24"/>
            <w:szCs w:val="24"/>
          </w:rPr>
          <w:t>https://opvvv.msmt.cz/vyzva/vyzva-c-02-18-071-zvysovani-kvality-neformalniho-vzdelavani-2.htm</w:t>
        </w:r>
      </w:hyperlink>
      <w:r>
        <w:rPr>
          <w:sz w:val="24"/>
          <w:szCs w:val="24"/>
        </w:rPr>
        <w:t xml:space="preserve"> </w:t>
      </w:r>
    </w:p>
    <w:p w:rsidR="0082775C" w:rsidRDefault="0082775C" w:rsidP="0082775C">
      <w:pPr>
        <w:pStyle w:val="Odstavecseseznamem1"/>
        <w:numPr>
          <w:ilvl w:val="1"/>
          <w:numId w:val="14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OP VVV – výzva č. 63 - Šablony II – ukončení příjmu žádostí: 28.6.2019 - </w:t>
      </w:r>
      <w:hyperlink r:id="rId11" w:history="1">
        <w:r w:rsidRPr="00D74F13">
          <w:rPr>
            <w:rStyle w:val="Hypertextovodkaz"/>
            <w:sz w:val="24"/>
            <w:szCs w:val="24"/>
          </w:rPr>
          <w:t>https://opvvv.msmt.cz/vyzva/vyzva-c-02-18-063-sablony-ii-mimo-hlavni-mesto-praha-verze-1.htm</w:t>
        </w:r>
      </w:hyperlink>
      <w:r>
        <w:rPr>
          <w:sz w:val="24"/>
          <w:szCs w:val="24"/>
        </w:rPr>
        <w:t xml:space="preserve"> </w:t>
      </w:r>
    </w:p>
    <w:p w:rsidR="00695DE7" w:rsidRDefault="00695DE7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podrobné informace byly prostřednictvím e-mailu odeslány všem územním analytikům a zástupce </w:t>
      </w:r>
      <w:r w:rsidR="00D13DD1">
        <w:rPr>
          <w:sz w:val="24"/>
          <w:szCs w:val="24"/>
        </w:rPr>
        <w:t xml:space="preserve">pracovní skupiny </w:t>
      </w:r>
      <w:r>
        <w:rPr>
          <w:sz w:val="24"/>
          <w:szCs w:val="24"/>
        </w:rPr>
        <w:t xml:space="preserve">se </w:t>
      </w:r>
      <w:r w:rsidR="00D13DD1">
        <w:rPr>
          <w:sz w:val="24"/>
          <w:szCs w:val="24"/>
        </w:rPr>
        <w:t xml:space="preserve">pravidelně </w:t>
      </w:r>
      <w:r>
        <w:rPr>
          <w:sz w:val="24"/>
          <w:szCs w:val="24"/>
        </w:rPr>
        <w:t xml:space="preserve">účastní </w:t>
      </w:r>
      <w:r w:rsidR="00D13DD1">
        <w:rPr>
          <w:sz w:val="24"/>
          <w:szCs w:val="24"/>
        </w:rPr>
        <w:t xml:space="preserve">schůzek </w:t>
      </w:r>
      <w:r>
        <w:rPr>
          <w:sz w:val="24"/>
          <w:szCs w:val="24"/>
        </w:rPr>
        <w:t>ÚPS</w:t>
      </w:r>
    </w:p>
    <w:p w:rsidR="009A4D65" w:rsidRDefault="009A4D65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byl vypracován souhrnný Přehled dotačních programů pro oblast investic/pořízení pomůcek v MŠ a ZŠ – bude zaslán všem zapojeným subjektům prostřednictvím územních analytiků</w:t>
      </w:r>
    </w:p>
    <w:p w:rsidR="007A5368" w:rsidRDefault="00906972" w:rsidP="00D13DD1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6972" w:rsidRDefault="0082775C" w:rsidP="0090697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Kouba, Mgr. </w:t>
      </w:r>
      <w:proofErr w:type="gramStart"/>
      <w:r>
        <w:rPr>
          <w:sz w:val="24"/>
          <w:szCs w:val="24"/>
        </w:rPr>
        <w:t>Dolejší - informace</w:t>
      </w:r>
      <w:proofErr w:type="gramEnd"/>
      <w:r w:rsidR="00906972">
        <w:rPr>
          <w:sz w:val="24"/>
          <w:szCs w:val="24"/>
        </w:rPr>
        <w:t>:</w:t>
      </w:r>
    </w:p>
    <w:p w:rsidR="00906972" w:rsidRDefault="0082775C" w:rsidP="00732D36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jednotlivé zapojené subjekty provedly vyhodnocení platného AP 2018/2019</w:t>
      </w:r>
    </w:p>
    <w:p w:rsidR="0082775C" w:rsidRDefault="0082775C" w:rsidP="00732D36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některé realizované aktivity se podařilo uskutečnit za finančního přispění různých poskytovatelů dotace: např. v rámci dotačních programů Jihočeského kraje,</w:t>
      </w:r>
      <w:r w:rsidR="00622029">
        <w:rPr>
          <w:sz w:val="24"/>
          <w:szCs w:val="24"/>
        </w:rPr>
        <w:t xml:space="preserve"> OP VVV – šablony I, IROP, SFŽP – Národní program Životní prostředí</w:t>
      </w:r>
    </w:p>
    <w:p w:rsidR="00622029" w:rsidRDefault="00622029" w:rsidP="00732D36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velkou část aktivit si však subjekty musely hradit samy, případně ve spolupráci se svým zřizovatelem – nebyl otevřen adekvátní dotační program</w:t>
      </w:r>
    </w:p>
    <w:p w:rsidR="00695DE7" w:rsidRDefault="00695DE7" w:rsidP="00695DE7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695DE7" w:rsidRDefault="00766DC3" w:rsidP="00695DE7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Musil, </w:t>
      </w:r>
      <w:r w:rsidR="00622029">
        <w:rPr>
          <w:sz w:val="24"/>
          <w:szCs w:val="24"/>
        </w:rPr>
        <w:t xml:space="preserve">Ing. </w:t>
      </w:r>
      <w:proofErr w:type="gramStart"/>
      <w:r w:rsidR="00622029">
        <w:rPr>
          <w:sz w:val="24"/>
          <w:szCs w:val="24"/>
        </w:rPr>
        <w:t>Kouba - informace</w:t>
      </w:r>
      <w:proofErr w:type="gramEnd"/>
      <w:r w:rsidR="00695DE7">
        <w:rPr>
          <w:sz w:val="24"/>
          <w:szCs w:val="24"/>
        </w:rPr>
        <w:t>:</w:t>
      </w:r>
    </w:p>
    <w:p w:rsidR="00695DE7" w:rsidRDefault="00622029" w:rsidP="00622029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 současné době školská zařízení zpracovávají nový AP 2019/2020</w:t>
      </w:r>
    </w:p>
    <w:p w:rsidR="00732D36" w:rsidRDefault="00622029" w:rsidP="00732D36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strukturován bude ve stejném „duchu“ jako plán předchozí</w:t>
      </w:r>
      <w:r w:rsidR="00732D36">
        <w:rPr>
          <w:sz w:val="24"/>
          <w:szCs w:val="24"/>
        </w:rPr>
        <w:t>, na základě diskusí v jednotlivých ÚPS pravděpodobně dojde k úpravě aktivit (na základě priorit zapojených subjektů)</w:t>
      </w:r>
    </w:p>
    <w:p w:rsidR="00732D36" w:rsidRDefault="00732D36" w:rsidP="00732D36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finální verze bude schválena Řídícím výborem</w:t>
      </w:r>
    </w:p>
    <w:p w:rsidR="00732D36" w:rsidRPr="00732D36" w:rsidRDefault="00732D36" w:rsidP="00732D36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návrhy financování uvedených aktivit budou probíhat ve stejném režimu jako u plánu ukončeného</w:t>
      </w:r>
    </w:p>
    <w:p w:rsidR="0051091A" w:rsidRDefault="0051091A" w:rsidP="0051091A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044FB5" w:rsidRDefault="00044FB5" w:rsidP="00044FB5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044FB5" w:rsidRDefault="00044FB5" w:rsidP="0051091A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Příští setkání </w:t>
      </w:r>
      <w:r w:rsidR="0051091A">
        <w:rPr>
          <w:sz w:val="24"/>
          <w:szCs w:val="24"/>
        </w:rPr>
        <w:t xml:space="preserve">PS se uskuteční </w:t>
      </w:r>
      <w:r w:rsidR="00D13DD1">
        <w:rPr>
          <w:sz w:val="24"/>
          <w:szCs w:val="24"/>
        </w:rPr>
        <w:t>září/říjen</w:t>
      </w:r>
      <w:r w:rsidR="0051091A">
        <w:rPr>
          <w:sz w:val="24"/>
          <w:szCs w:val="24"/>
        </w:rPr>
        <w:t xml:space="preserve"> 2019.</w:t>
      </w: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2A52E3" w:rsidRPr="00356051" w:rsidRDefault="0051091A" w:rsidP="0051091A">
      <w:pPr>
        <w:pStyle w:val="Odstavecseseznamem1"/>
        <w:spacing w:line="240" w:lineRule="auto"/>
        <w:ind w:left="0"/>
        <w:jc w:val="both"/>
        <w:rPr>
          <w:sz w:val="24"/>
          <w:szCs w:val="24"/>
        </w:rPr>
      </w:pPr>
      <w:r w:rsidRPr="00760BE3">
        <w:rPr>
          <w:sz w:val="24"/>
          <w:szCs w:val="24"/>
        </w:rPr>
        <w:t>Zapsal</w:t>
      </w:r>
      <w:r w:rsidR="00356051" w:rsidRPr="00760BE3">
        <w:rPr>
          <w:sz w:val="24"/>
          <w:szCs w:val="24"/>
        </w:rPr>
        <w:t xml:space="preserve">: </w:t>
      </w:r>
      <w:r w:rsidR="00760BE3">
        <w:rPr>
          <w:sz w:val="24"/>
          <w:szCs w:val="24"/>
        </w:rPr>
        <w:t>Mgr. Josef Musil</w:t>
      </w:r>
    </w:p>
    <w:p w:rsidR="00CC3DBB" w:rsidRPr="00C83BB2" w:rsidRDefault="007C6914" w:rsidP="0051091A">
      <w:pPr>
        <w:spacing w:line="240" w:lineRule="auto"/>
        <w:rPr>
          <w:rFonts w:ascii="Calibri" w:hAnsi="Calibri" w:cs="Calibri"/>
          <w:sz w:val="24"/>
          <w:szCs w:val="24"/>
        </w:rPr>
      </w:pPr>
      <w:r w:rsidRPr="00C83BB2">
        <w:rPr>
          <w:rFonts w:ascii="Calibri" w:hAnsi="Calibri" w:cs="Calibri"/>
          <w:sz w:val="24"/>
          <w:szCs w:val="24"/>
        </w:rPr>
        <w:t>garant pracovní skupiny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51091A">
      <w:headerReference w:type="default" r:id="rId12"/>
      <w:footerReference w:type="default" r:id="rId13"/>
      <w:pgSz w:w="11906" w:h="16838"/>
      <w:pgMar w:top="1417" w:right="1417" w:bottom="993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E7E" w:rsidRDefault="00754E7E" w:rsidP="003E5669">
      <w:pPr>
        <w:spacing w:after="0" w:line="240" w:lineRule="auto"/>
      </w:pPr>
      <w:r>
        <w:separator/>
      </w:r>
    </w:p>
  </w:endnote>
  <w:endnote w:type="continuationSeparator" w:id="0">
    <w:p w:rsidR="00754E7E" w:rsidRDefault="00754E7E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E7E" w:rsidRDefault="00754E7E" w:rsidP="003E5669">
      <w:pPr>
        <w:spacing w:after="0" w:line="240" w:lineRule="auto"/>
      </w:pPr>
      <w:r>
        <w:separator/>
      </w:r>
    </w:p>
  </w:footnote>
  <w:footnote w:type="continuationSeparator" w:id="0">
    <w:p w:rsidR="00754E7E" w:rsidRDefault="00754E7E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3114F1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D63816" wp14:editId="40325F7C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>MAP II v ORP Tábor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D63816"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>MAP II v ORP Tábor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 wp14:anchorId="6785FA6D" wp14:editId="19E51465">
          <wp:extent cx="5705475" cy="1266825"/>
          <wp:effectExtent l="0" t="0" r="9525" b="9525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3114F1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44C36A5" wp14:editId="7AD90425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1905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665"/>
    <w:multiLevelType w:val="hybridMultilevel"/>
    <w:tmpl w:val="46DE2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9F769A"/>
    <w:multiLevelType w:val="hybridMultilevel"/>
    <w:tmpl w:val="BE2C4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C2C30"/>
    <w:multiLevelType w:val="hybridMultilevel"/>
    <w:tmpl w:val="F70C524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54CA8"/>
    <w:multiLevelType w:val="hybridMultilevel"/>
    <w:tmpl w:val="27B6E7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950B01"/>
    <w:multiLevelType w:val="hybridMultilevel"/>
    <w:tmpl w:val="9970DE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3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268A"/>
    <w:rsid w:val="00004819"/>
    <w:rsid w:val="0001348C"/>
    <w:rsid w:val="00014060"/>
    <w:rsid w:val="00023D31"/>
    <w:rsid w:val="00041C29"/>
    <w:rsid w:val="00044FB5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518B2"/>
    <w:rsid w:val="00161DD9"/>
    <w:rsid w:val="00170D51"/>
    <w:rsid w:val="00180CEA"/>
    <w:rsid w:val="001A5E39"/>
    <w:rsid w:val="001B6309"/>
    <w:rsid w:val="001D46DF"/>
    <w:rsid w:val="001F0FCB"/>
    <w:rsid w:val="002166B0"/>
    <w:rsid w:val="00270EBD"/>
    <w:rsid w:val="00285FD8"/>
    <w:rsid w:val="00297CA7"/>
    <w:rsid w:val="002A52E3"/>
    <w:rsid w:val="002B678E"/>
    <w:rsid w:val="002D64DF"/>
    <w:rsid w:val="002F2829"/>
    <w:rsid w:val="002F5479"/>
    <w:rsid w:val="0030558A"/>
    <w:rsid w:val="003114F1"/>
    <w:rsid w:val="00327350"/>
    <w:rsid w:val="00333BBA"/>
    <w:rsid w:val="00356051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E4B16"/>
    <w:rsid w:val="004F3D23"/>
    <w:rsid w:val="0051091A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4FAE"/>
    <w:rsid w:val="005D58FF"/>
    <w:rsid w:val="005D7C1B"/>
    <w:rsid w:val="005E0BF5"/>
    <w:rsid w:val="005E2A78"/>
    <w:rsid w:val="005F25CF"/>
    <w:rsid w:val="005F7192"/>
    <w:rsid w:val="006009D6"/>
    <w:rsid w:val="00616B67"/>
    <w:rsid w:val="00620019"/>
    <w:rsid w:val="00622029"/>
    <w:rsid w:val="0063251C"/>
    <w:rsid w:val="00644EE4"/>
    <w:rsid w:val="006615C4"/>
    <w:rsid w:val="00671763"/>
    <w:rsid w:val="006759AA"/>
    <w:rsid w:val="00695DE7"/>
    <w:rsid w:val="006969E8"/>
    <w:rsid w:val="006B1AE5"/>
    <w:rsid w:val="006B6185"/>
    <w:rsid w:val="006C1D0A"/>
    <w:rsid w:val="006C556D"/>
    <w:rsid w:val="006C585D"/>
    <w:rsid w:val="006D27B9"/>
    <w:rsid w:val="006F45EB"/>
    <w:rsid w:val="0071344B"/>
    <w:rsid w:val="00732D36"/>
    <w:rsid w:val="00735AB8"/>
    <w:rsid w:val="00744666"/>
    <w:rsid w:val="00754D37"/>
    <w:rsid w:val="00754E7E"/>
    <w:rsid w:val="00755E78"/>
    <w:rsid w:val="00756434"/>
    <w:rsid w:val="00756909"/>
    <w:rsid w:val="00760BE3"/>
    <w:rsid w:val="00764823"/>
    <w:rsid w:val="00766DC3"/>
    <w:rsid w:val="00774600"/>
    <w:rsid w:val="00782275"/>
    <w:rsid w:val="00790382"/>
    <w:rsid w:val="00790F1F"/>
    <w:rsid w:val="007920BC"/>
    <w:rsid w:val="00796E2C"/>
    <w:rsid w:val="007A5368"/>
    <w:rsid w:val="007C5441"/>
    <w:rsid w:val="007C6914"/>
    <w:rsid w:val="007D0D73"/>
    <w:rsid w:val="007E30B4"/>
    <w:rsid w:val="007F2FF3"/>
    <w:rsid w:val="007F3240"/>
    <w:rsid w:val="00807702"/>
    <w:rsid w:val="0082775C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06972"/>
    <w:rsid w:val="00935DED"/>
    <w:rsid w:val="009365D4"/>
    <w:rsid w:val="009404F3"/>
    <w:rsid w:val="00956E1F"/>
    <w:rsid w:val="00982918"/>
    <w:rsid w:val="009A4D65"/>
    <w:rsid w:val="009D5015"/>
    <w:rsid w:val="009E79CA"/>
    <w:rsid w:val="009F41F0"/>
    <w:rsid w:val="00A32B38"/>
    <w:rsid w:val="00A36A64"/>
    <w:rsid w:val="00A40630"/>
    <w:rsid w:val="00A970EA"/>
    <w:rsid w:val="00AA5EEC"/>
    <w:rsid w:val="00AB4478"/>
    <w:rsid w:val="00AF32F0"/>
    <w:rsid w:val="00B0591C"/>
    <w:rsid w:val="00B117CC"/>
    <w:rsid w:val="00B34AEB"/>
    <w:rsid w:val="00B408DF"/>
    <w:rsid w:val="00B51975"/>
    <w:rsid w:val="00B648FF"/>
    <w:rsid w:val="00B65ECF"/>
    <w:rsid w:val="00B77F76"/>
    <w:rsid w:val="00B811EF"/>
    <w:rsid w:val="00BA1E53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81898"/>
    <w:rsid w:val="00C83BB2"/>
    <w:rsid w:val="00C908BD"/>
    <w:rsid w:val="00C90F1F"/>
    <w:rsid w:val="00CB61B0"/>
    <w:rsid w:val="00CC3DBB"/>
    <w:rsid w:val="00CC64EE"/>
    <w:rsid w:val="00CD036C"/>
    <w:rsid w:val="00D01AAF"/>
    <w:rsid w:val="00D07FFB"/>
    <w:rsid w:val="00D13DD1"/>
    <w:rsid w:val="00D15F06"/>
    <w:rsid w:val="00D2628B"/>
    <w:rsid w:val="00D34246"/>
    <w:rsid w:val="00D4464F"/>
    <w:rsid w:val="00D709F0"/>
    <w:rsid w:val="00D8165C"/>
    <w:rsid w:val="00D845BF"/>
    <w:rsid w:val="00DA4171"/>
    <w:rsid w:val="00DB142E"/>
    <w:rsid w:val="00DB42D6"/>
    <w:rsid w:val="00DC0AC6"/>
    <w:rsid w:val="00DC5F6B"/>
    <w:rsid w:val="00DC6E2A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22DF"/>
    <w:rsid w:val="00F36EA9"/>
    <w:rsid w:val="00F41B29"/>
    <w:rsid w:val="00F476FD"/>
    <w:rsid w:val="00F553E0"/>
    <w:rsid w:val="00F860FD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CE965F5-8050-4C79-BD7D-74A8B38E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0898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913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cr.cz/vyzva-111-op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vvv.msmt.cz/vyzva/vyzva-c-02-18-063-sablony-ii-mimo-hlavni-mesto-praha-verze-1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pvvv.msmt.cz/vyzva/vyzva-c-02-18-071-zvysovani-kvality-neformalniho-vzdelavani-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zp.cz/dokumenty/detail/?id=190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D1BC-E71D-475D-AC67-8B8DA272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uzivatel</cp:lastModifiedBy>
  <cp:revision>2</cp:revision>
  <cp:lastPrinted>2016-01-06T14:04:00Z</cp:lastPrinted>
  <dcterms:created xsi:type="dcterms:W3CDTF">2019-07-29T11:49:00Z</dcterms:created>
  <dcterms:modified xsi:type="dcterms:W3CDTF">2019-07-29T11:49:00Z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