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7"/>
        <w:gridCol w:w="1259"/>
        <w:gridCol w:w="2292"/>
        <w:gridCol w:w="1566"/>
        <w:gridCol w:w="1012"/>
        <w:gridCol w:w="1082"/>
      </w:tblGrid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Specifický cíl SCLLD: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2. Péče o děti a mládež</w:t>
            </w: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Opatření SCLLD: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  <w:b/>
              </w:rPr>
            </w:pPr>
            <w:bookmarkStart w:id="0" w:name="_GoBack"/>
            <w:r w:rsidRPr="00E522FE">
              <w:rPr>
                <w:rFonts w:cs="Arial"/>
                <w:b/>
              </w:rPr>
              <w:t>2.1. Prorodinná opatření</w:t>
            </w:r>
            <w:bookmarkEnd w:id="0"/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Popis vazby opatření na specifický cíl 2.3.1 OPZ:</w:t>
            </w:r>
          </w:p>
        </w:tc>
        <w:tc>
          <w:tcPr>
            <w:tcW w:w="7211" w:type="dxa"/>
            <w:gridSpan w:val="5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Opatření je plně v souladu se specifickým cílem 2.3.1 OPZ. Opatření se zaměřuje na aktivitu: Podpora prorodinných opatření obcí a dalších aktérů na místní úrovni.</w:t>
            </w: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Popis cíle opatření: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Cílem opatření je zlepšení dostupnosti kvalitních zařízení a služeb péče o děti za účelem zvýšení zaměstnanosti pečujících osob a usnadnění slučitelnosti pracovního a soukromého života. Kvalitní naplnění volného času dětí a mládeže současně výrazně přispívá k prevenci sociálně-patologických jevů a rizikového chování.</w:t>
            </w: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Popis provázanosti navrhovaných opatření, včetně provázanosti na ostatní operační programy:</w:t>
            </w:r>
          </w:p>
        </w:tc>
        <w:tc>
          <w:tcPr>
            <w:tcW w:w="7211" w:type="dxa"/>
            <w:gridSpan w:val="5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Opatření vychází ze specifického cíle SCLLD Péče o děti a mládež a jeho opatření Podpora školních družin, klubů, dětských kroužků, oddílů a zájmové mimoškolní činnosti. Dále má úzkou vazbu na opatření Podpora mateřských a rodičovských center a Podpora příměstských táborů pro děti a mládež.</w:t>
            </w:r>
          </w:p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Opatření má přímo vazbu na specifický cíl IROP 2.4: Zvýšení kvality a dostupnosti infrastruktury pro vzdělávání a celoživotní učení, který SCLLD řeší v rámci opatření IROP 3. Infrastruktura pro vzdělávání.</w:t>
            </w: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proofErr w:type="spellStart"/>
            <w:r w:rsidRPr="00E522FE">
              <w:rPr>
                <w:rFonts w:cs="Arial"/>
              </w:rPr>
              <w:t>Priorizace</w:t>
            </w:r>
            <w:proofErr w:type="spellEnd"/>
            <w:r w:rsidRPr="00E522FE">
              <w:rPr>
                <w:rFonts w:cs="Arial"/>
              </w:rPr>
              <w:t xml:space="preserve"> navrhovaných opatření: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 xml:space="preserve">Opatření financované z alokované částky. </w:t>
            </w:r>
          </w:p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MAS pečlivě zvolila nejpřínosnější témata pro region. V nich je významný převis absorpční kapacity. V případě navýšení alokace bude podpořeno více projektů tohoto opatření. MAS nechce rozmělňovat podporu dalšími opatřeními.</w:t>
            </w: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Časový harmonogram realizace opatření ve vazbě na finanční plán: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Celkem budou vyhlášeny 3 výzvy: v roce 2017, 2018, 2019.</w:t>
            </w:r>
          </w:p>
          <w:p w:rsidR="00E522FE" w:rsidRPr="00E522FE" w:rsidRDefault="00E522FE" w:rsidP="00E522FE">
            <w:pPr>
              <w:spacing w:after="0" w:line="240" w:lineRule="auto"/>
              <w:contextualSpacing/>
              <w:jc w:val="left"/>
              <w:rPr>
                <w:rFonts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5812"/>
            </w:tblGrid>
            <w:tr w:rsidR="00E522FE" w:rsidRPr="00E522FE" w:rsidTr="00D47D9B">
              <w:tc>
                <w:tcPr>
                  <w:tcW w:w="1026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522FE">
                    <w:rPr>
                      <w:rFonts w:cs="Arial"/>
                    </w:rPr>
                    <w:t>Rok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522FE">
                    <w:rPr>
                      <w:rFonts w:cs="Arial"/>
                    </w:rPr>
                    <w:t>Plánovaná alokace na vyhlášenou výzvu (tis. Kč)</w:t>
                  </w:r>
                </w:p>
              </w:tc>
            </w:tr>
            <w:tr w:rsidR="00E522FE" w:rsidRPr="00E522FE" w:rsidTr="00D47D9B">
              <w:tc>
                <w:tcPr>
                  <w:tcW w:w="1026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522FE">
                    <w:rPr>
                      <w:rFonts w:cs="Arial"/>
                    </w:rPr>
                    <w:t>2017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522FE">
                    <w:rPr>
                      <w:rFonts w:cs="Arial"/>
                    </w:rPr>
                    <w:t>1 584,14</w:t>
                  </w:r>
                </w:p>
              </w:tc>
            </w:tr>
            <w:tr w:rsidR="00E522FE" w:rsidRPr="00E522FE" w:rsidTr="00D47D9B">
              <w:tc>
                <w:tcPr>
                  <w:tcW w:w="1026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522FE">
                    <w:rPr>
                      <w:rFonts w:cs="Arial"/>
                    </w:rPr>
                    <w:t>2018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522FE">
                    <w:rPr>
                      <w:rFonts w:cs="Arial"/>
                    </w:rPr>
                    <w:t>1 584,13</w:t>
                  </w:r>
                </w:p>
              </w:tc>
            </w:tr>
            <w:tr w:rsidR="00E522FE" w:rsidRPr="00E522FE" w:rsidTr="00D47D9B">
              <w:tc>
                <w:tcPr>
                  <w:tcW w:w="1026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522FE">
                    <w:rPr>
                      <w:rFonts w:cs="Arial"/>
                    </w:rPr>
                    <w:t>2019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</w:rPr>
                  </w:pPr>
                  <w:r w:rsidRPr="00E522FE">
                    <w:rPr>
                      <w:rFonts w:cs="Arial"/>
                    </w:rPr>
                    <w:t>1 584,13</w:t>
                  </w:r>
                </w:p>
              </w:tc>
            </w:tr>
            <w:tr w:rsidR="00E522FE" w:rsidRPr="00E522FE" w:rsidTr="00D47D9B">
              <w:tc>
                <w:tcPr>
                  <w:tcW w:w="1026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  <w:b/>
                    </w:rPr>
                  </w:pPr>
                  <w:r w:rsidRPr="00E522FE">
                    <w:rPr>
                      <w:rFonts w:cs="Arial"/>
                      <w:b/>
                    </w:rPr>
                    <w:t>Celkem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E522FE" w:rsidRPr="00E522FE" w:rsidRDefault="00E522FE" w:rsidP="00E522FE">
                  <w:pPr>
                    <w:spacing w:after="0" w:line="240" w:lineRule="auto"/>
                    <w:jc w:val="left"/>
                    <w:rPr>
                      <w:rFonts w:cs="Arial"/>
                      <w:b/>
                    </w:rPr>
                  </w:pPr>
                  <w:r w:rsidRPr="00E522FE">
                    <w:rPr>
                      <w:rFonts w:cs="Arial"/>
                      <w:b/>
                    </w:rPr>
                    <w:t>4 752,4</w:t>
                  </w:r>
                </w:p>
              </w:tc>
            </w:tr>
          </w:tbl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Popis možných zaměření projektů:</w:t>
            </w:r>
          </w:p>
        </w:tc>
        <w:tc>
          <w:tcPr>
            <w:tcW w:w="72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22FE" w:rsidRPr="00E522FE" w:rsidRDefault="00E522FE" w:rsidP="00E522FE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 xml:space="preserve">Budou podporovány zařízení, která doplní chybějící kapacitu stávajících institucionálních forem zařízení (typu školní družiny, kluby), </w:t>
            </w:r>
          </w:p>
          <w:p w:rsidR="00E522FE" w:rsidRPr="00E522FE" w:rsidRDefault="00E522FE" w:rsidP="00E522FE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Budou podporovány příměstské tábory v době školních prázdnin.</w:t>
            </w: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Podporované cílové skupiny:</w:t>
            </w:r>
          </w:p>
        </w:tc>
        <w:tc>
          <w:tcPr>
            <w:tcW w:w="72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22FE" w:rsidRPr="00E522FE" w:rsidRDefault="00E522FE" w:rsidP="00E522FE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osoby pečující o malé děti</w:t>
            </w:r>
          </w:p>
          <w:p w:rsidR="00E522FE" w:rsidRPr="00E522FE" w:rsidRDefault="00E522FE" w:rsidP="00E522FE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osoby vracející se na trh práce po návratu z mateřské/rodičovské dovolené</w:t>
            </w:r>
          </w:p>
          <w:p w:rsidR="00E522FE" w:rsidRPr="00E522FE" w:rsidRDefault="00E522FE" w:rsidP="00E522FE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osoby pečující o jiné závislé osoby</w:t>
            </w:r>
          </w:p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  <w:color w:val="000000"/>
              </w:rPr>
              <w:t>Relevantní oprávnění žadatelé budou určeni v jednotlivých výzvách.</w:t>
            </w: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Typy příjemců podpory:</w:t>
            </w:r>
          </w:p>
        </w:tc>
        <w:tc>
          <w:tcPr>
            <w:tcW w:w="72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22FE" w:rsidRPr="00E522FE" w:rsidRDefault="00E522FE" w:rsidP="00E522FE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 xml:space="preserve">obce </w:t>
            </w:r>
          </w:p>
          <w:p w:rsidR="00E522FE" w:rsidRPr="00E522FE" w:rsidRDefault="00E522FE" w:rsidP="00E522FE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dobrovolné svazky obcí</w:t>
            </w:r>
          </w:p>
          <w:p w:rsidR="00E522FE" w:rsidRPr="00E522FE" w:rsidRDefault="00E522FE" w:rsidP="00E522FE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organizace zřizované obcemi,</w:t>
            </w:r>
          </w:p>
          <w:p w:rsidR="00E522FE" w:rsidRPr="00E522FE" w:rsidRDefault="00E522FE" w:rsidP="00E522FE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 xml:space="preserve">nestátní neziskové organizace, </w:t>
            </w:r>
          </w:p>
          <w:p w:rsidR="00E522FE" w:rsidRPr="00E522FE" w:rsidRDefault="00E522FE" w:rsidP="00E522FE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příspěvkové organizace</w:t>
            </w:r>
          </w:p>
          <w:p w:rsidR="00E522FE" w:rsidRPr="00E522FE" w:rsidRDefault="00E522FE" w:rsidP="00E522FE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školy a školská zařízení.</w:t>
            </w:r>
          </w:p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  <w:color w:val="000000"/>
              </w:rPr>
              <w:t>Relevantní oprávnění žadatelé budou určeni v jednotlivých výzvách.</w:t>
            </w: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Absorpční kapacita MAS:</w:t>
            </w:r>
          </w:p>
        </w:tc>
        <w:tc>
          <w:tcPr>
            <w:tcW w:w="72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V některých obcích regionu není dostatečná kapacita stávajících institucionálních forem péče o děti. V území regionu působí 13 základních a 11 mateřských škol, poskytující kroužky a školní kluby, 2 ZUŠ nabízející hudební, výtvarný a literárně-</w:t>
            </w:r>
            <w:proofErr w:type="spellStart"/>
            <w:r w:rsidRPr="00E522FE">
              <w:rPr>
                <w:rFonts w:cs="Arial"/>
              </w:rPr>
              <w:t>dramatickýobor</w:t>
            </w:r>
            <w:proofErr w:type="spellEnd"/>
            <w:r w:rsidRPr="00E522FE">
              <w:rPr>
                <w:rFonts w:cs="Arial"/>
              </w:rPr>
              <w:t xml:space="preserve"> a DDM v Soběslavi s velkým množstvím kroužků (sport, cizí jazyky, tanec a další). Významným problémem je pak nedostatečná nabídka </w:t>
            </w:r>
            <w:r w:rsidRPr="00E522FE">
              <w:rPr>
                <w:rFonts w:cs="Arial"/>
              </w:rPr>
              <w:lastRenderedPageBreak/>
              <w:t>příměstských táborů v době školních prázdnin. V současné době eviduje MAS v této oblasti projektové záměry především neziskových organizací, pracující s cílovou skupinou, zároveň mající kapacitu realizovat tyto projekty. Absorpční kapacita území přesahuje možnosti programového rámce.</w:t>
            </w:r>
          </w:p>
        </w:tc>
      </w:tr>
      <w:tr w:rsidR="00E522FE" w:rsidRPr="00E522FE" w:rsidTr="00D47D9B">
        <w:trPr>
          <w:trHeight w:val="370"/>
        </w:trPr>
        <w:tc>
          <w:tcPr>
            <w:tcW w:w="2077" w:type="dxa"/>
            <w:vMerge w:val="restart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lastRenderedPageBreak/>
              <w:t>Vliv opatření na naplňování horizontálních témat OPZ:</w:t>
            </w: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 xml:space="preserve">Rovné příležitosti a ochrana před diskriminací 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E522FE">
              <w:rPr>
                <w:rFonts w:cs="Arial"/>
              </w:rPr>
              <w:t>neutrální</w:t>
            </w:r>
          </w:p>
        </w:tc>
      </w:tr>
      <w:tr w:rsidR="00E522FE" w:rsidRPr="00E522FE" w:rsidTr="00D47D9B">
        <w:trPr>
          <w:trHeight w:val="370"/>
        </w:trPr>
        <w:tc>
          <w:tcPr>
            <w:tcW w:w="2077" w:type="dxa"/>
            <w:vMerge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 xml:space="preserve">Rovnost žen a mužů 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E522FE">
              <w:rPr>
                <w:rFonts w:cs="Arial"/>
              </w:rPr>
              <w:t>pozitivní – podpora péče o děti umožňuje rodičům a zejména ženám nastoupit a setrvat v zaměstnání.</w:t>
            </w:r>
          </w:p>
        </w:tc>
      </w:tr>
      <w:tr w:rsidR="00E522FE" w:rsidRPr="00E522FE" w:rsidTr="00D47D9B">
        <w:trPr>
          <w:trHeight w:val="370"/>
        </w:trPr>
        <w:tc>
          <w:tcPr>
            <w:tcW w:w="2077" w:type="dxa"/>
            <w:vMerge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 xml:space="preserve">Udržitelný rozvoj 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E522FE">
              <w:rPr>
                <w:rFonts w:cs="Arial"/>
              </w:rPr>
              <w:t>neutrální</w:t>
            </w:r>
          </w:p>
        </w:tc>
      </w:tr>
      <w:tr w:rsidR="00E522FE" w:rsidRPr="00E522FE" w:rsidTr="00D47D9B">
        <w:tc>
          <w:tcPr>
            <w:tcW w:w="2077" w:type="dxa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  <w:r w:rsidRPr="00E522FE">
              <w:rPr>
                <w:rFonts w:cs="Arial"/>
              </w:rPr>
              <w:t>Principy pro určení preferenčních kritérií:</w:t>
            </w:r>
          </w:p>
        </w:tc>
        <w:tc>
          <w:tcPr>
            <w:tcW w:w="72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Preferenční kritéria budou stanovena až v konkrétní výzvě MAS. Obecně budou použita preferenční kritéria OP pro hodnocení kvality projektu. Hodnocena bude míra potřebnosti, vliv na horizontální témata a soulad se SCLLD.</w:t>
            </w:r>
          </w:p>
        </w:tc>
      </w:tr>
      <w:tr w:rsidR="00E522FE" w:rsidRPr="00E522FE" w:rsidTr="00D47D9B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Indikátor výsledku</w:t>
            </w:r>
          </w:p>
        </w:tc>
      </w:tr>
      <w:tr w:rsidR="00E522FE" w:rsidRPr="00E522FE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7" w:type="dxa"/>
            <w:vMerge w:val="restart"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Kód NČI2014+</w:t>
            </w:r>
          </w:p>
        </w:tc>
        <w:tc>
          <w:tcPr>
            <w:tcW w:w="3858" w:type="dxa"/>
            <w:gridSpan w:val="2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Výchozí hodnota</w:t>
            </w:r>
          </w:p>
        </w:tc>
        <w:tc>
          <w:tcPr>
            <w:tcW w:w="1082" w:type="dxa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Cílová hodnota</w:t>
            </w:r>
          </w:p>
        </w:tc>
      </w:tr>
      <w:tr w:rsidR="00E522FE" w:rsidRPr="00E522FE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7" w:type="dxa"/>
            <w:vMerge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5 01 30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Počet osob pracujících v rámci flexibilních forem práce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8</w:t>
            </w:r>
          </w:p>
        </w:tc>
      </w:tr>
      <w:tr w:rsidR="00E522FE" w:rsidRPr="00E522FE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7" w:type="dxa"/>
            <w:vMerge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211" w:type="dxa"/>
            <w:gridSpan w:val="5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</w:p>
        </w:tc>
      </w:tr>
      <w:tr w:rsidR="00E522FE" w:rsidRPr="00E522FE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7" w:type="dxa"/>
            <w:vMerge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211" w:type="dxa"/>
            <w:gridSpan w:val="5"/>
            <w:shd w:val="clear" w:color="auto" w:fill="FFCC99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Indikátor výstupu</w:t>
            </w:r>
          </w:p>
        </w:tc>
      </w:tr>
      <w:tr w:rsidR="00E522FE" w:rsidRPr="00E522FE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077" w:type="dxa"/>
            <w:vMerge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Kód NČI2014+</w:t>
            </w:r>
          </w:p>
        </w:tc>
        <w:tc>
          <w:tcPr>
            <w:tcW w:w="3858" w:type="dxa"/>
            <w:gridSpan w:val="2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Výchozí hodnota</w:t>
            </w:r>
          </w:p>
        </w:tc>
        <w:tc>
          <w:tcPr>
            <w:tcW w:w="1082" w:type="dxa"/>
            <w:shd w:val="clear" w:color="auto" w:fill="auto"/>
          </w:tcPr>
          <w:p w:rsidR="00E522FE" w:rsidRPr="00E522FE" w:rsidRDefault="00E522FE" w:rsidP="00E522FE">
            <w:pPr>
              <w:spacing w:after="0" w:line="240" w:lineRule="auto"/>
              <w:rPr>
                <w:rFonts w:cs="Arial"/>
              </w:rPr>
            </w:pPr>
            <w:r w:rsidRPr="00E522FE">
              <w:rPr>
                <w:rFonts w:cs="Arial"/>
              </w:rPr>
              <w:t>Cílová hodnota</w:t>
            </w:r>
          </w:p>
        </w:tc>
      </w:tr>
      <w:tr w:rsidR="00E522FE" w:rsidRPr="00E522FE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077" w:type="dxa"/>
            <w:vMerge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5 00 01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Kapacita podpořených zařízení péče o děti nebo vzdělávacích zařízení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160</w:t>
            </w:r>
          </w:p>
        </w:tc>
      </w:tr>
      <w:tr w:rsidR="00E522FE" w:rsidRPr="00E522FE" w:rsidTr="00D4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077" w:type="dxa"/>
            <w:vMerge/>
            <w:shd w:val="clear" w:color="auto" w:fill="FFCC99"/>
            <w:vAlign w:val="center"/>
          </w:tcPr>
          <w:p w:rsidR="00E522FE" w:rsidRPr="00E522FE" w:rsidRDefault="00E522FE" w:rsidP="00E522FE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 xml:space="preserve">6 00 00 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Celkový počet účastníků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522FE" w:rsidRPr="00E522FE" w:rsidRDefault="00E522FE" w:rsidP="00E52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</w:rPr>
            </w:pPr>
            <w:r w:rsidRPr="00E522FE">
              <w:rPr>
                <w:rFonts w:cs="Arial"/>
                <w:bCs/>
              </w:rPr>
              <w:t>480</w:t>
            </w: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ADF"/>
    <w:multiLevelType w:val="hybridMultilevel"/>
    <w:tmpl w:val="3490D5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E1658D"/>
    <w:multiLevelType w:val="hybridMultilevel"/>
    <w:tmpl w:val="393CFF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EA64F4"/>
    <w:multiLevelType w:val="hybridMultilevel"/>
    <w:tmpl w:val="0AA242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68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868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22FE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868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868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2017-06-20T11:38:00Z</dcterms:created>
  <dcterms:modified xsi:type="dcterms:W3CDTF">2017-06-20T11:38:00Z</dcterms:modified>
</cp:coreProperties>
</file>